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458E5" w:rsidRDefault="00C728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Teen Relationships Matter: Research and Practice with Relationship Smarts Plus (Georgia)</w:t>
      </w:r>
    </w:p>
    <w:p w14:paraId="00000002" w14:textId="77777777" w:rsidR="00C458E5" w:rsidRDefault="00C458E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3" w14:textId="77777777" w:rsidR="00C458E5" w:rsidRDefault="00C728FE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September Webinar Q&amp;A</w:t>
      </w:r>
    </w:p>
    <w:p w14:paraId="00000004" w14:textId="77777777" w:rsidR="00C458E5" w:rsidRDefault="00C458E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5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 xml:space="preserve">Q1: 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Cindy, what has been one of your favorite success stories from students that have been through the program?</w:t>
      </w:r>
    </w:p>
    <w:p w14:paraId="00000006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</w:pPr>
    </w:p>
    <w:p w14:paraId="00000007" w14:textId="77777777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 would have to say that it's always nice to see former students and have them tell me </w:t>
      </w:r>
    </w:p>
    <w:p w14:paraId="00000008" w14:textId="77777777" w:rsidR="00C458E5" w:rsidRDefault="00C728F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what a difference the curriculum has made for them. Ano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ther one of course is seeing the </w:t>
      </w:r>
    </w:p>
    <w:p w14:paraId="00000009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students using the skills like the young man in the video using the speaker/listener technique in high school. </w:t>
      </w:r>
    </w:p>
    <w:p w14:paraId="0000000A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 xml:space="preserve">Q2: 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Hi from NJ.  Does decrease in pregnancy rates delayed reflecting high school pregnancy for kids in progra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 xml:space="preserve">ms in </w:t>
      </w:r>
      <w:proofErr w:type="spellStart"/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jr</w:t>
      </w:r>
      <w:proofErr w:type="spellEnd"/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 xml:space="preserve"> high?</w:t>
      </w:r>
    </w:p>
    <w:p w14:paraId="0000000C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</w:pPr>
    </w:p>
    <w:p w14:paraId="0000000D" w14:textId="2FFC4F81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 unfortunately cannot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conclude "causation" from these trends. The pregnancy rates</w:t>
      </w:r>
    </w:p>
    <w:p w14:paraId="0000000E" w14:textId="77777777" w:rsidR="00C458E5" w:rsidRDefault="00C728F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did drop among high school students in Washington County, and as of 2017 every high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0000000F" w14:textId="09BC8DAA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school student (freshmen to senior) had received the "6 core less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ons" of Relationship Smarts in middle school during 7th grade, and all freshmen and sophomores also received the remaining 6 lessons during 8th grade. Currently, it's just a correlation. We plan to continue to follow the trend and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compare this trend to si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milar counties where Relationship Smarts (and not other program) was delivered. </w:t>
      </w:r>
    </w:p>
    <w:p w14:paraId="00000010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1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Q3: Are there parent permission or parent information sent out?  Opt-out option?</w:t>
      </w:r>
    </w:p>
    <w:p w14:paraId="00000012" w14:textId="77777777" w:rsidR="00C458E5" w:rsidRDefault="00C458E5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3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 originally sent home parent permission slips that had to be returned for the students to participate. We now send home letters with an opt-out option.</w:t>
      </w:r>
    </w:p>
    <w:p w14:paraId="00000014" w14:textId="77777777" w:rsidR="00C458E5" w:rsidRDefault="00C458E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5" w14:textId="4B11FF79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Q4: What do you think is the best timeslot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 xml:space="preserve"> to teach in school?</w:t>
      </w:r>
    </w:p>
    <w:p w14:paraId="00000016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</w:p>
    <w:p w14:paraId="00000017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Cindy is teaching this class in 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ocial studies classes because the school sees the value of the content.</w:t>
      </w:r>
    </w:p>
    <w:p w14:paraId="00000018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9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Q5: Ok, after school as the program progressed, what was the dropout rate?</w:t>
      </w:r>
    </w:p>
    <w:p w14:paraId="0000001A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What incentive was there to keep the children showing up weekly?</w:t>
      </w:r>
    </w:p>
    <w:p w14:paraId="0000001B" w14:textId="77777777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>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Since 2015, the focus in Washington cou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nty has been to deliver the program to every </w:t>
      </w:r>
    </w:p>
    <w:p w14:paraId="0000001C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middle schooler. Since they all have to be at school, retention is high; the graduation rate from the program (70% completion) has been around 90%, with the exception of this past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year where we only had a 65% program graduation rate due to school shutdown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 March-April. Retention in after school programs is more challenging, but we have found that the host site plays a key role in maintaining rapport with the youth (AND parents/caregivers), and snacks really help too.</w:t>
      </w:r>
    </w:p>
    <w:p w14:paraId="0000001D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E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Q6: How many weeks was the program?</w:t>
      </w:r>
    </w:p>
    <w:p w14:paraId="0000001F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</w:p>
    <w:p w14:paraId="00000020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 taught on a monthly basis and covered one lesson per month. You could teach weekly or daily or even have a two or three-day workshop where you teach the curriculum. I've taught it each way. </w:t>
      </w:r>
    </w:p>
    <w:p w14:paraId="00000021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2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 xml:space="preserve">Q7: Thanks for the talk. Two questions: In the U.S. 44,291 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births (1% of U.S. births) were to teen mothers aged 15-17. How did your program help teen parents in GA? Did you feel that the relationship smart curriculum addressed the lack of a vision of commitment to prevent depression, second pregnancy, and violence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?</w:t>
      </w:r>
    </w:p>
    <w:p w14:paraId="00000023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</w:p>
    <w:p w14:paraId="00000024" w14:textId="77777777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Unfortunately, we do not have data to determine how the program helped teen parents </w:t>
      </w:r>
    </w:p>
    <w:p w14:paraId="00000025" w14:textId="0AD6490D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 Georgia. Looking at the trend data provided by our state, teen (age 10-19) pregnancies represented 7% of all Georgia pregnancies in 2015 and 6% of all pregnancie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 in 2019; very little change. In Washington county, teen pregnancies represented 15% of all pregnancies in 2015 and 8% in 2019 - a substantial drop. Again, at this time we cannot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conclude that this was due to Relationship Smarts, but it sure is a great 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urn-around for the county!</w:t>
      </w:r>
    </w:p>
    <w:p w14:paraId="00000026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7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Q8: How are you able to receive compensation for delivering the program in school or OST? Do you have community partners where the cost is covered via grants? Do you have a staff to support full coverage of all students?</w:t>
      </w:r>
    </w:p>
    <w:p w14:paraId="00000028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</w:p>
    <w:p w14:paraId="3D5DFCFA" w14:textId="77777777" w:rsidR="00C728FE" w:rsidRDefault="00C728FE" w:rsidP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fortunate to have a great partnership with DFCS and we currently receive </w:t>
      </w:r>
    </w:p>
    <w:p w14:paraId="0000002A" w14:textId="1AC2C721" w:rsidR="00C458E5" w:rsidRDefault="00C728FE" w:rsidP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State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Title V funding to deliver the program in several counties. Also, UGA Extension is funded by various sources, but mostly state and local tax dollars and our educators work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with schools and agencies in their counties to deliver several programs to youth and adults. This resource is available in every state, I encourage you to reach out to your local Extension office to learn more.</w:t>
      </w:r>
    </w:p>
    <w:p w14:paraId="0000002B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C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Vanessa: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Perfect, thank you. </w:t>
      </w:r>
    </w:p>
    <w:p w14:paraId="0000002D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2E" w14:textId="77777777" w:rsidR="00C458E5" w:rsidRDefault="00C728FE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 xml:space="preserve">Q9: Can you 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>speak on how you've changed the ways you are presenting since coronavirus?</w:t>
      </w:r>
    </w:p>
    <w:p w14:paraId="0000002F" w14:textId="77777777" w:rsidR="00C458E5" w:rsidRDefault="00C458E5">
      <w:pP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</w:pPr>
    </w:p>
    <w:p w14:paraId="00000030" w14:textId="77777777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 Georgia, it currently varies. Cindy is currently able to still teach in school. She is </w:t>
      </w:r>
    </w:p>
    <w:p w14:paraId="00000031" w14:textId="77777777" w:rsidR="00C458E5" w:rsidRDefault="00C728F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also going to reach the students that are virtual only using the virtual format the 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chool uses which is Google Meets. Our team of Extension agents is currently working together to prepare materials with different virtual resources to deliver the program virtually. Also, take a look at the Dibble Online Teaching Toolkit which is under free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resources on our website. Although the specific ways in which one would adapt the activities will vary based on the platform/apps you use, Dibble does provide a few general tips along with links to various platforms and apps to consider. You can also view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the August webinar which was all about teaching online.           </w:t>
      </w:r>
    </w:p>
    <w:p w14:paraId="00000032" w14:textId="77777777" w:rsidR="00C458E5" w:rsidRDefault="00C458E5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3" w14:textId="77777777" w:rsidR="00C458E5" w:rsidRDefault="00C728F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D85C6"/>
          <w:sz w:val="24"/>
          <w:szCs w:val="24"/>
          <w:highlight w:val="white"/>
        </w:rPr>
        <w:t xml:space="preserve">Q10: What have you found to be the benefit of evidence-based curriculum over other forms of curriculum when it comes to teaching relationships?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0000034" w14:textId="77777777" w:rsidR="00C458E5" w:rsidRDefault="00C458E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5" w14:textId="77777777" w:rsidR="00C458E5" w:rsidRDefault="00C728F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With an evidence-based program you can be confident that what you are doing will </w:t>
      </w:r>
    </w:p>
    <w:p w14:paraId="00000036" w14:textId="77777777" w:rsidR="00C458E5" w:rsidRDefault="00C728F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actually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make a difference.                </w:t>
      </w:r>
    </w:p>
    <w:sectPr w:rsidR="00C458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E5"/>
    <w:rsid w:val="00C458E5"/>
    <w:rsid w:val="00C7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A6A40"/>
  <w15:docId w15:val="{245CB599-B6FE-9B48-A0A1-F6C44660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Mohney, Brooklyn</cp:lastModifiedBy>
  <cp:revision>2</cp:revision>
  <dcterms:created xsi:type="dcterms:W3CDTF">2020-09-16T18:20:00Z</dcterms:created>
  <dcterms:modified xsi:type="dcterms:W3CDTF">2020-09-16T18:21:00Z</dcterms:modified>
</cp:coreProperties>
</file>